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DE PALABRAS CON D</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Durante décadas, la diversidad cultural ha sido motivo de debate en la sociedad. Algunos defienden la idea de una convivencia armoniosa, mientras otros desafían ese concepto. La discriminación, desafortunadamente, persiste en diferentes dimensiones: desde el ámbito laboral hasta el escolar.</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Los debates sobre derechos humanos han llevado a cambios significativos. La democratización de la información a través de la digitalización ha jugado un papel clave en este proceso. Las redes sociales desempeñan un papel determinante, aunque a veces generan divisiones.</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El desarrollo sostenible se convierte en un objetivo común. Discutir estrategias para reducir la degradación ambiental y promover prácticas más sostenibles es crucial. Debemos tomar decisiones informadas y conscientes para proteger nuestro entorno.</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Después de años de lucha y debate, se espera que la dirección hacia un futuro más justo y equitativo se fortalezca, dejando atrás desigualdades y discriminaciones.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