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con M</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En un mercado bullicioso de una ciudad costera, María compró una manta colorida y una maraca para su viaje a México. Mientras caminaba por las estrechas calles, un hombre mayor le mostró un mapa detallado de la metrópolis. María, siempre curiosa, comenzó a marcar lugares de interés en su cuaderno de viaje. La mañana siguiente, se embarcó en un viaje en barco para explorar las maravillas naturales del mar. Allí, observó cómo las olas mecían la embarcación y el reflejo de la luna en el agua. Era un momento mágico.</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De regreso a su hotel, María conoció a Martín, un músico local que tocaba la guitarra en la plaza principal. Martín tocaba melodías alegres que hicieron que María se moviera al ritmo de la música. Juntos, compartieron historias de sus respectivos países y descubrieron muchas similitudes culturales.</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Este viaje a una metrópolis en México se convirtió en una experiencia inolvidable para María. La combinación de las compras en el mercado, la exploración del mar y la música en la plaza la hizo sentirse enriquecida y maravillada. Al final de su aventura, María regresó a su hogar con una mochila llena de recuerdos y un montón de nuevas amistades.</w:t>
      </w:r>
    </w:p>
    <w:p w:rsidR="00000000" w:rsidDel="00000000" w:rsidP="00000000" w:rsidRDefault="00000000" w:rsidRPr="00000000" w14:paraId="00000009">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B">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